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B668" w14:textId="77777777"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13D6B6B6" wp14:editId="13D6B6B7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13D6B669" w14:textId="77777777"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13D6B66A" w14:textId="77777777" w:rsidR="009D306B" w:rsidRDefault="000C4E2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NIVAPROF-TEX</w:t>
      </w:r>
      <w:r w:rsidR="004065A5">
        <w:rPr>
          <w:rFonts w:ascii="Arial Narrow" w:hAnsi="Arial Narrow"/>
          <w:b/>
          <w:bCs/>
          <w:sz w:val="32"/>
          <w:szCs w:val="32"/>
        </w:rPr>
        <w:tab/>
      </w:r>
      <w:r w:rsidR="004065A5">
        <w:rPr>
          <w:rFonts w:ascii="Arial Narrow" w:hAnsi="Arial Narrow"/>
          <w:b/>
          <w:bCs/>
          <w:sz w:val="32"/>
          <w:szCs w:val="32"/>
        </w:rPr>
        <w:tab/>
      </w:r>
      <w:r w:rsidR="004065A5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4065A5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7</w:t>
      </w:r>
      <w:r w:rsidR="00560345">
        <w:rPr>
          <w:rFonts w:ascii="Arial Narrow" w:hAnsi="Arial Narrow"/>
          <w:b/>
          <w:bCs/>
          <w:sz w:val="36"/>
          <w:szCs w:val="36"/>
        </w:rPr>
        <w:t>0</w:t>
      </w:r>
    </w:p>
    <w:p w14:paraId="13D6B66B" w14:textId="77777777" w:rsidR="0063706D" w:rsidRPr="007C0BBD" w:rsidRDefault="000C4E26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Tinta </w:t>
      </w:r>
      <w:r w:rsidR="00560345">
        <w:rPr>
          <w:rFonts w:ascii="Arial Narrow" w:hAnsi="Arial Narrow"/>
          <w:b/>
          <w:bCs/>
          <w:sz w:val="24"/>
          <w:szCs w:val="24"/>
        </w:rPr>
        <w:t>texturada</w:t>
      </w:r>
      <w:r w:rsidR="00D632F1">
        <w:rPr>
          <w:rFonts w:ascii="Arial Narrow" w:hAnsi="Arial Narrow"/>
          <w:b/>
          <w:bCs/>
          <w:sz w:val="24"/>
          <w:szCs w:val="24"/>
        </w:rPr>
        <w:t xml:space="preserve"> | </w:t>
      </w:r>
      <w:r w:rsidR="00560345">
        <w:rPr>
          <w:rFonts w:ascii="Arial Narrow" w:hAnsi="Arial Narrow"/>
          <w:b/>
          <w:bCs/>
          <w:sz w:val="24"/>
          <w:szCs w:val="24"/>
        </w:rPr>
        <w:t xml:space="preserve">Interior - </w:t>
      </w:r>
      <w:r w:rsidR="00D632F1">
        <w:rPr>
          <w:rFonts w:ascii="Arial Narrow" w:hAnsi="Arial Narrow"/>
          <w:b/>
          <w:bCs/>
          <w:sz w:val="24"/>
          <w:szCs w:val="24"/>
        </w:rPr>
        <w:t>Exterior</w:t>
      </w:r>
    </w:p>
    <w:p w14:paraId="13D6B66C" w14:textId="77777777"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14:paraId="13D6B66D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13D6B66E" w14:textId="77777777" w:rsidR="000C4E26" w:rsidRPr="000C4E26" w:rsidRDefault="000C4E26" w:rsidP="000C4E2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C4E26">
        <w:rPr>
          <w:rFonts w:ascii="Arial Narrow" w:eastAsia="Arial Unicode MS" w:hAnsi="Arial Narrow" w:cs="Arial Unicode MS"/>
          <w:sz w:val="18"/>
          <w:szCs w:val="18"/>
        </w:rPr>
        <w:t xml:space="preserve">Produto baseado numa emulsão </w:t>
      </w:r>
      <w:proofErr w:type="spellStart"/>
      <w:r w:rsidRPr="000C4E26">
        <w:rPr>
          <w:rFonts w:ascii="Arial Narrow" w:eastAsia="Arial Unicode MS" w:hAnsi="Arial Narrow" w:cs="Arial Unicode MS"/>
          <w:sz w:val="18"/>
          <w:szCs w:val="18"/>
        </w:rPr>
        <w:t>copolímero</w:t>
      </w:r>
      <w:proofErr w:type="spellEnd"/>
      <w:r w:rsidRPr="000C4E26">
        <w:rPr>
          <w:rFonts w:ascii="Arial Narrow" w:eastAsia="Arial Unicode MS" w:hAnsi="Arial Narrow" w:cs="Arial Unicode MS"/>
          <w:sz w:val="18"/>
          <w:szCs w:val="18"/>
        </w:rPr>
        <w:t xml:space="preserve"> acrílico que suporta alto P.V.C., proporcionando </w:t>
      </w:r>
      <w:r w:rsidR="004065A5">
        <w:rPr>
          <w:rFonts w:ascii="Arial Narrow" w:eastAsia="Arial Unicode MS" w:hAnsi="Arial Narrow" w:cs="Arial Unicode MS"/>
          <w:sz w:val="18"/>
          <w:szCs w:val="18"/>
        </w:rPr>
        <w:t>deste modo</w:t>
      </w:r>
      <w:r w:rsidR="00B1797A">
        <w:rPr>
          <w:rFonts w:ascii="Arial Narrow" w:eastAsia="Arial Unicode MS" w:hAnsi="Arial Narrow" w:cs="Arial Unicode MS"/>
          <w:sz w:val="18"/>
          <w:szCs w:val="18"/>
        </w:rPr>
        <w:t xml:space="preserve"> tintas de elevado </w:t>
      </w:r>
      <w:r w:rsidRPr="000C4E26">
        <w:rPr>
          <w:rFonts w:ascii="Arial Narrow" w:eastAsia="Arial Unicode MS" w:hAnsi="Arial Narrow" w:cs="Arial Unicode MS"/>
          <w:sz w:val="18"/>
          <w:szCs w:val="18"/>
        </w:rPr>
        <w:t xml:space="preserve">nível qualitativo. </w:t>
      </w:r>
    </w:p>
    <w:p w14:paraId="13D6B66F" w14:textId="77777777" w:rsidR="006550D7" w:rsidRDefault="006550D7" w:rsidP="000C4E2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13D6B670" w14:textId="77777777"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Como acabamento para construção civil, na regularização das superfícies mais disformes, quer em substratos novos como em repinturas.</w:t>
      </w:r>
    </w:p>
    <w:p w14:paraId="13D6B671" w14:textId="77777777" w:rsidR="0063706D" w:rsidRPr="00700802" w:rsidRDefault="0063706D" w:rsidP="00B1797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13D6B674" w14:textId="77777777" w:rsidTr="0063706D">
        <w:trPr>
          <w:jc w:val="center"/>
        </w:trPr>
        <w:tc>
          <w:tcPr>
            <w:tcW w:w="4322" w:type="dxa"/>
          </w:tcPr>
          <w:p w14:paraId="13D6B67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13D6B673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14:paraId="13D6B677" w14:textId="77777777" w:rsidTr="0063706D">
        <w:trPr>
          <w:jc w:val="center"/>
        </w:trPr>
        <w:tc>
          <w:tcPr>
            <w:tcW w:w="4322" w:type="dxa"/>
          </w:tcPr>
          <w:p w14:paraId="13D6B675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13D6B676" w14:textId="77777777" w:rsidR="0063706D" w:rsidRPr="00700802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  <w:r w:rsidR="00560345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| Texturado grosso</w:t>
            </w:r>
          </w:p>
        </w:tc>
      </w:tr>
      <w:tr w:rsidR="0063706D" w14:paraId="13D6B67A" w14:textId="77777777" w:rsidTr="0063706D">
        <w:trPr>
          <w:jc w:val="center"/>
        </w:trPr>
        <w:tc>
          <w:tcPr>
            <w:tcW w:w="4322" w:type="dxa"/>
          </w:tcPr>
          <w:p w14:paraId="13D6B678" w14:textId="77777777"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13D6B679" w14:textId="77777777"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14:paraId="13D6B67D" w14:textId="77777777" w:rsidTr="0063706D">
        <w:trPr>
          <w:jc w:val="center"/>
        </w:trPr>
        <w:tc>
          <w:tcPr>
            <w:tcW w:w="4322" w:type="dxa"/>
          </w:tcPr>
          <w:p w14:paraId="13D6B67B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13D6B67C" w14:textId="77777777" w:rsidR="0063706D" w:rsidRPr="00700802" w:rsidRDefault="00B1797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+-1.65</w:t>
            </w:r>
          </w:p>
        </w:tc>
      </w:tr>
      <w:tr w:rsidR="0063706D" w14:paraId="13D6B680" w14:textId="77777777" w:rsidTr="0063706D">
        <w:trPr>
          <w:jc w:val="center"/>
        </w:trPr>
        <w:tc>
          <w:tcPr>
            <w:tcW w:w="4322" w:type="dxa"/>
          </w:tcPr>
          <w:p w14:paraId="13D6B67E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13D6B67F" w14:textId="77777777"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14:paraId="13D6B683" w14:textId="77777777" w:rsidTr="0063706D">
        <w:trPr>
          <w:jc w:val="center"/>
        </w:trPr>
        <w:tc>
          <w:tcPr>
            <w:tcW w:w="4322" w:type="dxa"/>
          </w:tcPr>
          <w:p w14:paraId="13D6B681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13D6B682" w14:textId="77777777" w:rsidR="0063706D" w:rsidRPr="00700802" w:rsidRDefault="00560345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60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B1797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- 70000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13D6B686" w14:textId="77777777" w:rsidTr="0063706D">
        <w:trPr>
          <w:jc w:val="center"/>
        </w:trPr>
        <w:tc>
          <w:tcPr>
            <w:tcW w:w="4322" w:type="dxa"/>
          </w:tcPr>
          <w:p w14:paraId="13D6B684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13D6B685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14:paraId="13D6B689" w14:textId="77777777" w:rsidTr="0063706D">
        <w:trPr>
          <w:jc w:val="center"/>
        </w:trPr>
        <w:tc>
          <w:tcPr>
            <w:tcW w:w="4322" w:type="dxa"/>
          </w:tcPr>
          <w:p w14:paraId="13D6B687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13D6B688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13D6B68A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13D6B68B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14:paraId="13D6B68C" w14:textId="77777777"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Aplica-se à trincha e escova, fazendo acabamento com rolo apropriado, sendo a última passagem no sentido de baixo para cima.</w:t>
      </w:r>
    </w:p>
    <w:p w14:paraId="13D6B68D" w14:textId="77777777"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Quanto ao seu rendimento teórico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 depende do estado da superfície a pintar, mas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poderemos adiantar o seguinte:</w:t>
      </w:r>
    </w:p>
    <w:p w14:paraId="13D6B68E" w14:textId="77777777"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- 1.2Kg para substratos regulares  </w:t>
      </w:r>
    </w:p>
    <w:p w14:paraId="13D6B68F" w14:textId="77777777" w:rsid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- 1.5Kg para substratos irregulares </w:t>
      </w:r>
    </w:p>
    <w:p w14:paraId="13D6B690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14:paraId="13D6B691" w14:textId="77777777"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13D6B692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14:paraId="13D6B693" w14:textId="77777777"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14:paraId="13D6B694" w14:textId="77777777"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13D6B695" w14:textId="77777777"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14:paraId="13D6B696" w14:textId="77777777"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14:paraId="13D6B697" w14:textId="77777777" w:rsidR="00B1797A" w:rsidRDefault="00B1797A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13D6B698" w14:textId="77777777"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NOTA IMPORTANTE</w:t>
      </w:r>
    </w:p>
    <w:p w14:paraId="13D6B699" w14:textId="77777777"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14:paraId="13D6B69A" w14:textId="77777777"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14:paraId="13D6B69B" w14:textId="77777777"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14:paraId="13D6B69C" w14:textId="77777777"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3D6B69D" w14:textId="77777777"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13D6B69E" w14:textId="77777777"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3D6B69F" w14:textId="18D5931B"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O limite da EU para este tipo de produto </w:t>
      </w:r>
      <w:r w:rsidRPr="00F34444">
        <w:rPr>
          <w:rFonts w:ascii="Arial Narrow" w:eastAsia="Arial Unicode MS" w:hAnsi="Arial Narrow" w:cs="Arial Unicode MS"/>
          <w:b/>
          <w:sz w:val="18"/>
          <w:szCs w:val="18"/>
        </w:rPr>
        <w:t>(</w:t>
      </w:r>
      <w:proofErr w:type="spellStart"/>
      <w:r w:rsidRPr="00F34444">
        <w:rPr>
          <w:rFonts w:ascii="Arial Narrow" w:eastAsia="Arial Unicode MS" w:hAnsi="Arial Narrow" w:cs="Arial Unicode MS"/>
          <w:b/>
          <w:sz w:val="18"/>
          <w:szCs w:val="18"/>
        </w:rPr>
        <w:t>Cat</w:t>
      </w:r>
      <w:proofErr w:type="spellEnd"/>
      <w:r w:rsidRPr="00F34444">
        <w:rPr>
          <w:rFonts w:ascii="Arial Narrow" w:eastAsia="Arial Unicode MS" w:hAnsi="Arial Narrow" w:cs="Arial Unicode MS"/>
          <w:b/>
          <w:sz w:val="18"/>
          <w:szCs w:val="18"/>
        </w:rPr>
        <w:t xml:space="preserve"> A/</w:t>
      </w:r>
      <w:r w:rsidR="00F34444" w:rsidRPr="00F34444">
        <w:rPr>
          <w:rFonts w:ascii="Arial Narrow" w:eastAsia="Arial Unicode MS" w:hAnsi="Arial Narrow" w:cs="Arial Unicode MS"/>
          <w:b/>
          <w:sz w:val="18"/>
          <w:szCs w:val="18"/>
        </w:rPr>
        <w:t>a</w:t>
      </w:r>
      <w:r w:rsidRPr="00F34444">
        <w:rPr>
          <w:rFonts w:ascii="Arial Narrow" w:eastAsia="Arial Unicode MS" w:hAnsi="Arial Narrow" w:cs="Arial Unicode MS"/>
          <w:b/>
          <w:sz w:val="18"/>
          <w:szCs w:val="18"/>
        </w:rPr>
        <w:t>)</w:t>
      </w: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F34444">
        <w:rPr>
          <w:rFonts w:ascii="Arial Narrow" w:eastAsia="Arial Unicode MS" w:hAnsi="Arial Narrow" w:cs="Arial Unicode MS"/>
          <w:sz w:val="18"/>
          <w:szCs w:val="18"/>
        </w:rPr>
        <w:t>3</w:t>
      </w:r>
      <w:r w:rsidRPr="00B1797A">
        <w:rPr>
          <w:rFonts w:ascii="Arial Narrow" w:eastAsia="Arial Unicode MS" w:hAnsi="Arial Narrow" w:cs="Arial Unicode MS"/>
          <w:sz w:val="18"/>
          <w:szCs w:val="18"/>
        </w:rPr>
        <w:t>0 g/l (2010)</w:t>
      </w:r>
    </w:p>
    <w:p w14:paraId="6617A1A7" w14:textId="541F2CC6" w:rsidR="00365A2D" w:rsidRPr="00790262" w:rsidRDefault="00365A2D" w:rsidP="00365A2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F34444">
        <w:rPr>
          <w:rFonts w:ascii="Arial Narrow" w:eastAsia="Arial Unicode MS" w:hAnsi="Arial Narrow" w:cs="Arial Unicode MS"/>
          <w:b/>
          <w:sz w:val="18"/>
          <w:szCs w:val="18"/>
        </w:rPr>
        <w:t>COV: 9 g/l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>, no produto ponto a usar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3D6B6A1" w14:textId="77777777" w:rsidR="00B1797A" w:rsidRDefault="00B1797A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3D6B6A2" w14:textId="77777777"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3" w14:textId="77777777"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4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5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6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7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8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9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A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B" w14:textId="77777777"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C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D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E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AF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B0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B1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B2" w14:textId="77777777"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B3" w14:textId="77777777" w:rsidR="00B50B1F" w:rsidRDefault="00B50B1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B4" w14:textId="77777777" w:rsidR="00B50B1F" w:rsidRDefault="00B50B1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13D6B6B5" w14:textId="63FC51EE" w:rsidR="00506FFA" w:rsidRPr="0063706D" w:rsidRDefault="009969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Atualizada em </w:t>
      </w:r>
      <w:r w:rsidR="00F34444">
        <w:rPr>
          <w:rFonts w:ascii="Arial Narrow" w:eastAsia="Arial Unicode MS" w:hAnsi="Arial Narrow" w:cs="Arial Unicode MS"/>
          <w:sz w:val="18"/>
          <w:szCs w:val="18"/>
        </w:rPr>
        <w:t>16</w:t>
      </w:r>
      <w:r>
        <w:rPr>
          <w:rFonts w:ascii="Arial Narrow" w:eastAsia="Arial Unicode MS" w:hAnsi="Arial Narrow" w:cs="Arial Unicode MS"/>
          <w:sz w:val="18"/>
          <w:szCs w:val="18"/>
        </w:rPr>
        <w:t>/</w:t>
      </w:r>
      <w:r w:rsidR="00F34444">
        <w:rPr>
          <w:rFonts w:ascii="Arial Narrow" w:eastAsia="Arial Unicode MS" w:hAnsi="Arial Narrow" w:cs="Arial Unicode MS"/>
          <w:sz w:val="18"/>
          <w:szCs w:val="18"/>
        </w:rPr>
        <w:t>11</w:t>
      </w:r>
      <w:r>
        <w:rPr>
          <w:rFonts w:ascii="Arial Narrow" w:eastAsia="Arial Unicode MS" w:hAnsi="Arial Narrow" w:cs="Arial Unicode MS"/>
          <w:sz w:val="18"/>
          <w:szCs w:val="18"/>
        </w:rPr>
        <w:t>/201</w:t>
      </w:r>
      <w:r w:rsidR="00F34444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D025" w14:textId="77777777" w:rsidR="00624478" w:rsidRDefault="00624478" w:rsidP="0063706D">
      <w:pPr>
        <w:spacing w:after="0" w:line="240" w:lineRule="auto"/>
      </w:pPr>
      <w:r>
        <w:separator/>
      </w:r>
    </w:p>
  </w:endnote>
  <w:endnote w:type="continuationSeparator" w:id="0">
    <w:p w14:paraId="2F7BFB34" w14:textId="77777777" w:rsidR="00624478" w:rsidRDefault="00624478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B6BC" w14:textId="77777777"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3D6B6BE" wp14:editId="13D6B6BF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6B6BD" w14:textId="77777777"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3AE2" w14:textId="77777777" w:rsidR="00624478" w:rsidRDefault="00624478" w:rsidP="0063706D">
      <w:pPr>
        <w:spacing w:after="0" w:line="240" w:lineRule="auto"/>
      </w:pPr>
      <w:r>
        <w:separator/>
      </w:r>
    </w:p>
  </w:footnote>
  <w:footnote w:type="continuationSeparator" w:id="0">
    <w:p w14:paraId="1A9CBA4A" w14:textId="77777777" w:rsidR="00624478" w:rsidRDefault="00624478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965BF"/>
    <w:rsid w:val="000C4E26"/>
    <w:rsid w:val="00180AAF"/>
    <w:rsid w:val="00264558"/>
    <w:rsid w:val="00273F9E"/>
    <w:rsid w:val="003116D8"/>
    <w:rsid w:val="00365A2D"/>
    <w:rsid w:val="003A7C02"/>
    <w:rsid w:val="004065A5"/>
    <w:rsid w:val="00506FFA"/>
    <w:rsid w:val="00556CE7"/>
    <w:rsid w:val="00560345"/>
    <w:rsid w:val="005C4532"/>
    <w:rsid w:val="00624478"/>
    <w:rsid w:val="0063706D"/>
    <w:rsid w:val="006550D7"/>
    <w:rsid w:val="006C5F94"/>
    <w:rsid w:val="006E69D5"/>
    <w:rsid w:val="007137E4"/>
    <w:rsid w:val="0073504B"/>
    <w:rsid w:val="00763A3F"/>
    <w:rsid w:val="00786C3E"/>
    <w:rsid w:val="007C0BBD"/>
    <w:rsid w:val="007D3076"/>
    <w:rsid w:val="0080395E"/>
    <w:rsid w:val="0085067F"/>
    <w:rsid w:val="008B017A"/>
    <w:rsid w:val="00966465"/>
    <w:rsid w:val="00996902"/>
    <w:rsid w:val="009B4687"/>
    <w:rsid w:val="009D306B"/>
    <w:rsid w:val="00A057C6"/>
    <w:rsid w:val="00A11BBD"/>
    <w:rsid w:val="00A66F2F"/>
    <w:rsid w:val="00A67639"/>
    <w:rsid w:val="00B1797A"/>
    <w:rsid w:val="00B44548"/>
    <w:rsid w:val="00B50B1F"/>
    <w:rsid w:val="00C25412"/>
    <w:rsid w:val="00C60254"/>
    <w:rsid w:val="00CA312B"/>
    <w:rsid w:val="00CB582F"/>
    <w:rsid w:val="00D632F1"/>
    <w:rsid w:val="00D64F15"/>
    <w:rsid w:val="00DC7524"/>
    <w:rsid w:val="00E94B6F"/>
    <w:rsid w:val="00EC6CC5"/>
    <w:rsid w:val="00F001DC"/>
    <w:rsid w:val="00F34444"/>
    <w:rsid w:val="00F43888"/>
    <w:rsid w:val="00F72EC7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668"/>
  <w15:docId w15:val="{93369144-4849-4AFE-87B9-09F3FDF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Tintas Niva</cp:lastModifiedBy>
  <cp:revision>2</cp:revision>
  <cp:lastPrinted>2014-05-22T10:28:00Z</cp:lastPrinted>
  <dcterms:created xsi:type="dcterms:W3CDTF">2017-11-20T15:43:00Z</dcterms:created>
  <dcterms:modified xsi:type="dcterms:W3CDTF">2017-11-20T15:43:00Z</dcterms:modified>
</cp:coreProperties>
</file>